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Default="003D6ADE" w:rsidP="003D6ADE">
      <w:pPr>
        <w:spacing w:after="0" w:line="240" w:lineRule="auto"/>
        <w:jc w:val="both"/>
        <w:rPr>
          <w:rFonts w:ascii="Times New Roman" w:hAnsi="Times New Roman"/>
          <w:sz w:val="24"/>
          <w:szCs w:val="24"/>
        </w:rPr>
      </w:pPr>
      <w:r>
        <w:rPr>
          <w:rFonts w:ascii="Times New Roman" w:hAnsi="Times New Roman"/>
          <w:sz w:val="24"/>
          <w:szCs w:val="24"/>
        </w:rPr>
        <w:t xml:space="preserve">This is an Invitation to Bid in </w:t>
      </w:r>
      <w:r w:rsidR="009A6054">
        <w:rPr>
          <w:rFonts w:ascii="Times New Roman" w:hAnsi="Times New Roman"/>
          <w:sz w:val="24"/>
          <w:szCs w:val="24"/>
        </w:rPr>
        <w:t>two-stage t</w:t>
      </w:r>
      <w:r>
        <w:rPr>
          <w:rFonts w:ascii="Times New Roman" w:hAnsi="Times New Roman"/>
          <w:sz w:val="24"/>
          <w:szCs w:val="24"/>
        </w:rPr>
        <w:t xml:space="preserve">ender </w:t>
      </w:r>
      <w:r w:rsidR="009A6054" w:rsidRPr="009A6054">
        <w:rPr>
          <w:rFonts w:ascii="Times New Roman" w:hAnsi="Times New Roman"/>
          <w:sz w:val="24"/>
          <w:szCs w:val="24"/>
        </w:rPr>
        <w:t>5067-OD for agreement conclusion for supply of the expansion joints for SPMs to the CPC Marine Terminal.</w:t>
      </w:r>
    </w:p>
    <w:p w:rsidR="009A6054" w:rsidRPr="009A6054" w:rsidRDefault="009A6054" w:rsidP="003D6ADE">
      <w:pPr>
        <w:spacing w:after="0" w:line="240" w:lineRule="auto"/>
        <w:jc w:val="both"/>
        <w:rPr>
          <w:rFonts w:ascii="Times New Roman" w:hAnsi="Times New Roman"/>
          <w:color w:val="FF0000"/>
          <w:sz w:val="24"/>
          <w:szCs w:val="24"/>
        </w:rPr>
      </w:pPr>
      <w:r w:rsidRPr="009A6054">
        <w:rPr>
          <w:rFonts w:ascii="Times New Roman" w:hAnsi="Times New Roman"/>
          <w:color w:val="FF0000"/>
          <w:sz w:val="24"/>
          <w:szCs w:val="24"/>
        </w:rPr>
        <w:t>ATTENTION!</w:t>
      </w:r>
    </w:p>
    <w:p w:rsidR="009A6054" w:rsidRPr="009A6054" w:rsidRDefault="009A6054" w:rsidP="009A6054">
      <w:pPr>
        <w:spacing w:after="0" w:line="240" w:lineRule="auto"/>
        <w:jc w:val="both"/>
        <w:rPr>
          <w:rFonts w:ascii="Times New Roman" w:hAnsi="Times New Roman" w:cs="Times New Roman"/>
          <w:color w:val="FF0000"/>
          <w:sz w:val="24"/>
          <w:szCs w:val="24"/>
        </w:rPr>
      </w:pPr>
      <w:r w:rsidRPr="009A6054">
        <w:rPr>
          <w:rFonts w:ascii="Times New Roman" w:hAnsi="Times New Roman" w:cs="Times New Roman"/>
          <w:color w:val="FF0000"/>
          <w:sz w:val="24"/>
          <w:szCs w:val="24"/>
        </w:rPr>
        <w:t>This two-stage tender is a Type 2 tender:</w:t>
      </w:r>
    </w:p>
    <w:p w:rsidR="009A6054" w:rsidRPr="009A6054" w:rsidRDefault="009A6054" w:rsidP="009A6054">
      <w:pPr>
        <w:spacing w:after="0" w:line="240" w:lineRule="auto"/>
        <w:jc w:val="both"/>
        <w:rPr>
          <w:rFonts w:ascii="Times New Roman" w:hAnsi="Times New Roman" w:cs="Times New Roman"/>
          <w:color w:val="FF0000"/>
          <w:sz w:val="24"/>
          <w:szCs w:val="24"/>
        </w:rPr>
      </w:pPr>
      <w:r w:rsidRPr="009A6054">
        <w:rPr>
          <w:rFonts w:ascii="Times New Roman" w:hAnsi="Times New Roman" w:cs="Times New Roman"/>
          <w:color w:val="FF0000"/>
          <w:sz w:val="24"/>
          <w:szCs w:val="24"/>
        </w:rPr>
        <w:t>Type 2 - with a parallel evaluation of the pre-qualification part and the technical part of the tender offer - at the first stage, the participant submits an electronic version of the pre-qualification application and the technical part of the tender offer, at the second stage - the electronic version of the commercial part of the tender offer. Tender participants are invited to the second stage additionally (based on the results of the pre-qualification and technical evaluation of the tender offer).</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at: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9A6054">
        <w:rPr>
          <w:rStyle w:val="Hyperlink"/>
          <w:rFonts w:ascii="Times New Roman" w:hAnsi="Times New Roman"/>
          <w:color w:val="auto"/>
          <w:sz w:val="24"/>
          <w:szCs w:val="24"/>
          <w:u w:val="none"/>
        </w:rPr>
        <w:t>re form to the e-mail (Exhibit 6</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2. Send original copies of documents (technical and commenrcial part) to:</w:t>
      </w:r>
      <w:r>
        <w:t xml:space="preserve"> </w:t>
      </w:r>
      <w:r>
        <w:rPr>
          <w:rStyle w:val="Hyperlink"/>
          <w:rFonts w:ascii="Times New Roman" w:hAnsi="Times New Roman"/>
          <w:color w:val="auto"/>
          <w:sz w:val="24"/>
          <w:szCs w:val="24"/>
          <w:u w:val="none"/>
        </w:rPr>
        <w:t xml:space="preserve">115093, Moscow, </w:t>
      </w:r>
      <w:r>
        <w:rPr>
          <w:rFonts w:ascii="Times New Roman" w:hAnsi="Times New Roman"/>
          <w:sz w:val="24"/>
          <w:szCs w:val="24"/>
        </w:rPr>
        <w:t>Pavlovskaya, 7, Pavlovsky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5770C2">
        <w:rPr>
          <w:rFonts w:ascii="Times New Roman" w:hAnsi="Times New Roman"/>
          <w:i/>
          <w:color w:val="FF0000"/>
          <w:sz w:val="24"/>
          <w:szCs w:val="24"/>
        </w:rPr>
        <w:t>T</w:t>
      </w:r>
      <w:bookmarkStart w:id="2" w:name="_GoBack"/>
      <w:bookmarkEnd w:id="2"/>
      <w:r w:rsidR="004B16EA" w:rsidRPr="00C45E33">
        <w:rPr>
          <w:rFonts w:ascii="Times New Roman" w:hAnsi="Times New Roman"/>
          <w:i/>
          <w:color w:val="FF0000"/>
          <w:sz w:val="24"/>
          <w:szCs w:val="24"/>
        </w:rPr>
        <w: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The remote work procedure is described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0D5005" w:rsidRDefault="00761FE3" w:rsidP="009A6054">
      <w:pPr>
        <w:spacing w:before="120"/>
        <w:jc w:val="both"/>
        <w:rPr>
          <w:rFonts w:ascii="Times New Roman" w:hAnsi="Times New Roman"/>
          <w:sz w:val="24"/>
          <w:szCs w:val="24"/>
        </w:rPr>
      </w:pPr>
      <w:r>
        <w:rPr>
          <w:rFonts w:ascii="Times New Roman" w:hAnsi="Times New Roman"/>
          <w:sz w:val="24"/>
          <w:szCs w:val="24"/>
        </w:rPr>
        <w:t xml:space="preserve">A. </w:t>
      </w:r>
      <w:r w:rsidR="009A6054" w:rsidRPr="009A6054">
        <w:rPr>
          <w:rFonts w:ascii="Times New Roman" w:hAnsi="Times New Roman"/>
          <w:sz w:val="24"/>
          <w:szCs w:val="24"/>
        </w:rPr>
        <w:t>Experience of supply / performance of works / services on the subject of tender</w:t>
      </w:r>
      <w:r w:rsidR="009A6054">
        <w:rPr>
          <w:rFonts w:ascii="Times New Roman" w:hAnsi="Times New Roman"/>
          <w:sz w:val="24"/>
          <w:szCs w:val="24"/>
        </w:rPr>
        <w:t>;</w:t>
      </w:r>
    </w:p>
    <w:p w:rsidR="009A6054" w:rsidRPr="00C45E33" w:rsidRDefault="009A6054" w:rsidP="009A6054">
      <w:pPr>
        <w:spacing w:before="120"/>
        <w:jc w:val="both"/>
        <w:rPr>
          <w:rFonts w:ascii="Times New Roman" w:hAnsi="Times New Roman" w:cs="Times New Roman"/>
          <w:sz w:val="24"/>
          <w:szCs w:val="24"/>
        </w:rPr>
      </w:pPr>
      <w:r>
        <w:rPr>
          <w:rFonts w:ascii="Times New Roman" w:hAnsi="Times New Roman"/>
          <w:sz w:val="24"/>
          <w:szCs w:val="24"/>
        </w:rPr>
        <w:t xml:space="preserve">B. </w:t>
      </w:r>
      <w:r w:rsidRPr="009A6054">
        <w:rPr>
          <w:rFonts w:ascii="Times New Roman" w:hAnsi="Times New Roman"/>
          <w:sz w:val="24"/>
          <w:szCs w:val="24"/>
        </w:rPr>
        <w:t>Full technical compliance of proposed items</w:t>
      </w:r>
      <w:r>
        <w:rPr>
          <w:rFonts w:ascii="Times New Roman" w:hAnsi="Times New Roman"/>
          <w:sz w:val="24"/>
          <w:szCs w:val="24"/>
        </w:rPr>
        <w:t>;</w:t>
      </w:r>
    </w:p>
    <w:p w:rsidR="00761FE3" w:rsidRPr="009A6054" w:rsidRDefault="00761FE3" w:rsidP="000D5005">
      <w:pPr>
        <w:spacing w:before="120"/>
        <w:jc w:val="both"/>
        <w:rPr>
          <w:rFonts w:ascii="Times New Roman" w:hAnsi="Times New Roman" w:cs="Times New Roman"/>
          <w:sz w:val="24"/>
          <w:szCs w:val="24"/>
        </w:rPr>
      </w:pPr>
      <w:r>
        <w:rPr>
          <w:rFonts w:ascii="Times New Roman" w:hAnsi="Times New Roman"/>
          <w:sz w:val="24"/>
          <w:szCs w:val="24"/>
        </w:rPr>
        <w:t>C</w:t>
      </w:r>
      <w:r w:rsidR="009A6054">
        <w:rPr>
          <w:rFonts w:ascii="Times New Roman" w:hAnsi="Times New Roman"/>
          <w:sz w:val="24"/>
          <w:szCs w:val="24"/>
        </w:rPr>
        <w:t xml:space="preserve">. </w:t>
      </w:r>
      <w:r w:rsidR="009A6054" w:rsidRPr="009A6054">
        <w:rPr>
          <w:rFonts w:ascii="Times New Roman" w:hAnsi="Times New Roman"/>
          <w:sz w:val="24"/>
          <w:szCs w:val="24"/>
        </w:rPr>
        <w:t>The proposed expansion joints must be manufactured under the supervision of a third party - the ABS classification society, the Russian Maritime Register of Shipping (RMRS), or another member of the International Association of Classification Societies (IACS) with the issuance of appropriate certificates.</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9A6054" w:rsidRPr="009A6054" w:rsidRDefault="00754155" w:rsidP="009A6054">
      <w:pPr>
        <w:spacing w:before="120"/>
        <w:jc w:val="both"/>
        <w:rPr>
          <w:rFonts w:ascii="Times New Roman" w:hAnsi="Times New Roman"/>
          <w:sz w:val="24"/>
          <w:szCs w:val="24"/>
        </w:rPr>
      </w:pPr>
      <w:r w:rsidRPr="00C45E33">
        <w:rPr>
          <w:rFonts w:ascii="Times New Roman" w:hAnsi="Times New Roman"/>
          <w:sz w:val="24"/>
          <w:szCs w:val="24"/>
        </w:rPr>
        <w:t xml:space="preserve">1. </w:t>
      </w:r>
      <w:r w:rsidR="009A6054" w:rsidRPr="009A6054">
        <w:rPr>
          <w:rFonts w:ascii="Times New Roman" w:hAnsi="Times New Roman"/>
          <w:sz w:val="24"/>
          <w:szCs w:val="24"/>
        </w:rPr>
        <w:t xml:space="preserve"> Drawi</w:t>
      </w:r>
      <w:r w:rsidR="009A6054">
        <w:rPr>
          <w:rFonts w:ascii="Times New Roman" w:hAnsi="Times New Roman"/>
          <w:sz w:val="24"/>
          <w:szCs w:val="24"/>
        </w:rPr>
        <w:t>ngs of the proposed expansion joints</w:t>
      </w:r>
      <w:r w:rsidR="009A6054" w:rsidRPr="009A6054">
        <w:rPr>
          <w:rFonts w:ascii="Times New Roman" w:hAnsi="Times New Roman"/>
          <w:sz w:val="24"/>
          <w:szCs w:val="24"/>
        </w:rPr>
        <w:t>;</w:t>
      </w:r>
    </w:p>
    <w:p w:rsidR="009A6054" w:rsidRPr="009A6054" w:rsidRDefault="009A6054" w:rsidP="009A6054">
      <w:pPr>
        <w:spacing w:before="120"/>
        <w:jc w:val="both"/>
        <w:rPr>
          <w:rFonts w:ascii="Times New Roman" w:hAnsi="Times New Roman"/>
          <w:sz w:val="24"/>
          <w:szCs w:val="24"/>
        </w:rPr>
      </w:pPr>
      <w:r w:rsidRPr="009A6054">
        <w:rPr>
          <w:rFonts w:ascii="Times New Roman" w:hAnsi="Times New Roman"/>
          <w:sz w:val="24"/>
          <w:szCs w:val="24"/>
        </w:rPr>
        <w:t xml:space="preserve">2. Technical description of the proposed </w:t>
      </w:r>
      <w:r>
        <w:rPr>
          <w:rFonts w:ascii="Times New Roman" w:hAnsi="Times New Roman"/>
          <w:sz w:val="24"/>
          <w:szCs w:val="24"/>
        </w:rPr>
        <w:t xml:space="preserve">expansion joints </w:t>
      </w:r>
      <w:r w:rsidRPr="009A6054">
        <w:rPr>
          <w:rFonts w:ascii="Times New Roman" w:hAnsi="Times New Roman"/>
          <w:sz w:val="24"/>
          <w:szCs w:val="24"/>
        </w:rPr>
        <w:t>(completeness of delivery, data on the materials used, weight, allowable pressure, etc.)</w:t>
      </w:r>
    </w:p>
    <w:p w:rsidR="009A6054" w:rsidRPr="009A6054" w:rsidRDefault="009A6054" w:rsidP="009A6054">
      <w:pPr>
        <w:spacing w:before="120"/>
        <w:jc w:val="both"/>
        <w:rPr>
          <w:rFonts w:ascii="Times New Roman" w:hAnsi="Times New Roman"/>
          <w:sz w:val="24"/>
          <w:szCs w:val="24"/>
        </w:rPr>
      </w:pPr>
      <w:r w:rsidRPr="009A6054">
        <w:rPr>
          <w:rFonts w:ascii="Times New Roman" w:hAnsi="Times New Roman"/>
          <w:sz w:val="24"/>
          <w:szCs w:val="24"/>
        </w:rPr>
        <w:lastRenderedPageBreak/>
        <w:t>3. Warran</w:t>
      </w:r>
      <w:r>
        <w:rPr>
          <w:rFonts w:ascii="Times New Roman" w:hAnsi="Times New Roman"/>
          <w:sz w:val="24"/>
          <w:szCs w:val="24"/>
        </w:rPr>
        <w:t>ty period of operation of expansion joints</w:t>
      </w:r>
      <w:r w:rsidRPr="009A6054">
        <w:rPr>
          <w:rFonts w:ascii="Times New Roman" w:hAnsi="Times New Roman"/>
          <w:sz w:val="24"/>
          <w:szCs w:val="24"/>
        </w:rPr>
        <w:t>;</w:t>
      </w:r>
    </w:p>
    <w:p w:rsidR="009A6054" w:rsidRPr="009A6054" w:rsidRDefault="009A6054" w:rsidP="009A6054">
      <w:pPr>
        <w:spacing w:before="120"/>
        <w:jc w:val="both"/>
        <w:rPr>
          <w:rFonts w:ascii="Times New Roman" w:hAnsi="Times New Roman"/>
          <w:sz w:val="24"/>
          <w:szCs w:val="24"/>
        </w:rPr>
      </w:pPr>
      <w:r w:rsidRPr="009A6054">
        <w:rPr>
          <w:rFonts w:ascii="Times New Roman" w:hAnsi="Times New Roman"/>
          <w:sz w:val="24"/>
          <w:szCs w:val="24"/>
        </w:rPr>
        <w:t>4. Recommended shelf life and operation of</w:t>
      </w:r>
      <w:r>
        <w:rPr>
          <w:rFonts w:ascii="Times New Roman" w:hAnsi="Times New Roman"/>
          <w:sz w:val="24"/>
          <w:szCs w:val="24"/>
        </w:rPr>
        <w:t xml:space="preserve"> </w:t>
      </w:r>
      <w:r w:rsidRPr="009A6054">
        <w:rPr>
          <w:rFonts w:ascii="Times New Roman" w:hAnsi="Times New Roman"/>
          <w:sz w:val="24"/>
          <w:szCs w:val="24"/>
        </w:rPr>
        <w:t>expansion joints;</w:t>
      </w:r>
    </w:p>
    <w:p w:rsidR="009A6054" w:rsidRPr="009A6054" w:rsidRDefault="009A6054" w:rsidP="009A6054">
      <w:pPr>
        <w:spacing w:before="120"/>
        <w:jc w:val="both"/>
        <w:rPr>
          <w:rFonts w:ascii="Times New Roman" w:hAnsi="Times New Roman"/>
          <w:sz w:val="24"/>
          <w:szCs w:val="24"/>
        </w:rPr>
      </w:pPr>
      <w:r w:rsidRPr="009A6054">
        <w:rPr>
          <w:rFonts w:ascii="Times New Roman" w:hAnsi="Times New Roman"/>
          <w:sz w:val="24"/>
          <w:szCs w:val="24"/>
        </w:rPr>
        <w:t>5. List of certificates and technical documentation for</w:t>
      </w:r>
      <w:r>
        <w:rPr>
          <w:rFonts w:ascii="Times New Roman" w:hAnsi="Times New Roman"/>
          <w:sz w:val="24"/>
          <w:szCs w:val="24"/>
        </w:rPr>
        <w:t xml:space="preserve"> </w:t>
      </w:r>
      <w:r w:rsidRPr="009A6054">
        <w:rPr>
          <w:rFonts w:ascii="Times New Roman" w:hAnsi="Times New Roman"/>
          <w:sz w:val="24"/>
          <w:szCs w:val="24"/>
        </w:rPr>
        <w:t>expansion joints;</w:t>
      </w:r>
    </w:p>
    <w:p w:rsidR="00754155" w:rsidRDefault="009A6054" w:rsidP="009A6054">
      <w:pPr>
        <w:spacing w:before="120"/>
        <w:jc w:val="both"/>
        <w:rPr>
          <w:rFonts w:ascii="Times New Roman" w:hAnsi="Times New Roman" w:cs="Times New Roman"/>
          <w:sz w:val="24"/>
          <w:szCs w:val="24"/>
        </w:rPr>
      </w:pPr>
      <w:r w:rsidRPr="009A6054">
        <w:rPr>
          <w:rFonts w:ascii="Times New Roman" w:hAnsi="Times New Roman"/>
          <w:sz w:val="24"/>
          <w:szCs w:val="24"/>
        </w:rPr>
        <w:t>6. Guidelines for storage, installation and maintenance of</w:t>
      </w:r>
      <w:r>
        <w:rPr>
          <w:rFonts w:ascii="Times New Roman" w:hAnsi="Times New Roman"/>
          <w:sz w:val="24"/>
          <w:szCs w:val="24"/>
        </w:rPr>
        <w:t xml:space="preserve"> </w:t>
      </w:r>
      <w:r w:rsidRPr="009A6054">
        <w:rPr>
          <w:rFonts w:ascii="Times New Roman" w:hAnsi="Times New Roman"/>
          <w:sz w:val="24"/>
          <w:szCs w:val="24"/>
        </w:rPr>
        <w:t>expansion joints;</w:t>
      </w:r>
    </w:p>
    <w:p w:rsidR="00754155" w:rsidRPr="00754155" w:rsidRDefault="009A6054" w:rsidP="000D5005">
      <w:pPr>
        <w:spacing w:before="120"/>
        <w:jc w:val="both"/>
        <w:rPr>
          <w:rFonts w:ascii="Times New Roman" w:hAnsi="Times New Roman" w:cs="Times New Roman"/>
          <w:sz w:val="24"/>
          <w:szCs w:val="24"/>
        </w:rPr>
      </w:pPr>
      <w:r>
        <w:rPr>
          <w:rFonts w:ascii="Times New Roman" w:hAnsi="Times New Roman"/>
          <w:sz w:val="24"/>
          <w:szCs w:val="24"/>
        </w:rPr>
        <w:t xml:space="preserve">7. Confirmation of manufacturing of </w:t>
      </w:r>
      <w:r w:rsidRPr="009A6054">
        <w:rPr>
          <w:rFonts w:ascii="Times New Roman" w:hAnsi="Times New Roman"/>
          <w:sz w:val="24"/>
          <w:szCs w:val="24"/>
        </w:rPr>
        <w:t>expansion joints under the supervision of a third party - the ABS classification society, the Russian Maritime Register of Shipping (RMRS), or another member of the International Association of Classification Societies (IACS) with the issuance of appropriate certificates.</w:t>
      </w: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75" w:rsidRDefault="00277E75" w:rsidP="00D408E3">
      <w:pPr>
        <w:spacing w:before="0" w:after="0" w:line="240" w:lineRule="auto"/>
      </w:pPr>
      <w:r>
        <w:separator/>
      </w:r>
    </w:p>
  </w:endnote>
  <w:endnote w:type="continuationSeparator" w:id="0">
    <w:p w:rsidR="00277E75" w:rsidRDefault="00277E75"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5770C2">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5770C2">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75" w:rsidRDefault="00277E75" w:rsidP="00D408E3">
      <w:pPr>
        <w:spacing w:before="0" w:after="0" w:line="240" w:lineRule="auto"/>
      </w:pPr>
      <w:r>
        <w:separator/>
      </w:r>
    </w:p>
  </w:footnote>
  <w:footnote w:type="continuationSeparator" w:id="0">
    <w:p w:rsidR="00277E75" w:rsidRDefault="00277E75"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77E75"/>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0D55"/>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0C2"/>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9F4"/>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6054"/>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50D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92C9"/>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90039190-0444-4791-A0E2-D3DBA20D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11</cp:revision>
  <cp:lastPrinted>2015-04-07T13:30:00Z</cp:lastPrinted>
  <dcterms:created xsi:type="dcterms:W3CDTF">2020-11-18T13:41:00Z</dcterms:created>
  <dcterms:modified xsi:type="dcterms:W3CDTF">2022-07-26T07:23:00Z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